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070A9" w14:textId="3E81F2A1" w:rsidR="000C5FDB" w:rsidRDefault="000C5FDB">
      <w:pPr>
        <w:pStyle w:val="Default"/>
        <w:framePr w:w="5244" w:wrap="auto" w:vAnchor="page" w:hAnchor="page" w:x="1440" w:y="720"/>
        <w:spacing w:after="260"/>
      </w:pPr>
    </w:p>
    <w:p w14:paraId="148ECEB3" w14:textId="1A45E215" w:rsidR="00452A96" w:rsidRDefault="004A5DE9" w:rsidP="00480F03">
      <w:pPr>
        <w:pStyle w:val="CM2"/>
        <w:spacing w:line="246" w:lineRule="atLeast"/>
        <w:ind w:right="-7"/>
        <w:rPr>
          <w:rFonts w:cs="Verdana"/>
          <w:b/>
          <w:color w:val="000000"/>
          <w:sz w:val="20"/>
          <w:szCs w:val="20"/>
          <w:u w:val="single"/>
        </w:rPr>
      </w:pPr>
      <w:r>
        <w:rPr>
          <w:noProof/>
        </w:rPr>
        <w:drawing>
          <wp:anchor distT="0" distB="0" distL="114300" distR="114300" simplePos="0" relativeHeight="251659264" behindDoc="0" locked="0" layoutInCell="1" allowOverlap="1" wp14:anchorId="3E56E200" wp14:editId="05FF0012">
            <wp:simplePos x="0" y="0"/>
            <wp:positionH relativeFrom="margin">
              <wp:posOffset>-635</wp:posOffset>
            </wp:positionH>
            <wp:positionV relativeFrom="paragraph">
              <wp:posOffset>-924560</wp:posOffset>
            </wp:positionV>
            <wp:extent cx="1408430" cy="5149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RA_Logo_Office.png"/>
                    <pic:cNvPicPr/>
                  </pic:nvPicPr>
                  <pic:blipFill>
                    <a:blip r:embed="rId7">
                      <a:extLst>
                        <a:ext uri="{28A0092B-C50C-407E-A947-70E740481C1C}">
                          <a14:useLocalDpi xmlns:a14="http://schemas.microsoft.com/office/drawing/2010/main" val="0"/>
                        </a:ext>
                      </a:extLst>
                    </a:blip>
                    <a:stretch>
                      <a:fillRect/>
                    </a:stretch>
                  </pic:blipFill>
                  <pic:spPr>
                    <a:xfrm>
                      <a:off x="0" y="0"/>
                      <a:ext cx="1408430" cy="514985"/>
                    </a:xfrm>
                    <a:prstGeom prst="rect">
                      <a:avLst/>
                    </a:prstGeom>
                  </pic:spPr>
                </pic:pic>
              </a:graphicData>
            </a:graphic>
            <wp14:sizeRelH relativeFrom="page">
              <wp14:pctWidth>0</wp14:pctWidth>
            </wp14:sizeRelH>
            <wp14:sizeRelV relativeFrom="page">
              <wp14:pctHeight>0</wp14:pctHeight>
            </wp14:sizeRelV>
          </wp:anchor>
        </w:drawing>
      </w:r>
    </w:p>
    <w:p w14:paraId="459C718F" w14:textId="77777777" w:rsidR="00480F03" w:rsidRDefault="000C5FDB" w:rsidP="00215C03">
      <w:pPr>
        <w:pStyle w:val="CM2"/>
        <w:spacing w:line="246" w:lineRule="atLeast"/>
        <w:ind w:right="-7"/>
        <w:jc w:val="both"/>
        <w:rPr>
          <w:rFonts w:cs="Verdana"/>
          <w:b/>
          <w:color w:val="000000"/>
          <w:sz w:val="20"/>
          <w:szCs w:val="20"/>
          <w:u w:val="single"/>
        </w:rPr>
      </w:pPr>
      <w:r w:rsidRPr="00480F03">
        <w:rPr>
          <w:rFonts w:cs="Verdana"/>
          <w:b/>
          <w:color w:val="000000"/>
          <w:sz w:val="20"/>
          <w:szCs w:val="20"/>
          <w:u w:val="single"/>
        </w:rPr>
        <w:t xml:space="preserve">Attn: Trading and Market Making/Legal and </w:t>
      </w:r>
      <w:r w:rsidR="00480F03">
        <w:rPr>
          <w:rFonts w:cs="Verdana"/>
          <w:b/>
          <w:color w:val="000000"/>
          <w:sz w:val="20"/>
          <w:szCs w:val="20"/>
          <w:u w:val="single"/>
        </w:rPr>
        <w:t>C</w:t>
      </w:r>
      <w:r w:rsidRPr="00480F03">
        <w:rPr>
          <w:rFonts w:cs="Verdana"/>
          <w:b/>
          <w:color w:val="000000"/>
          <w:sz w:val="20"/>
          <w:szCs w:val="20"/>
          <w:u w:val="single"/>
        </w:rPr>
        <w:t>ompliance/Operations/Systems</w:t>
      </w:r>
      <w:r w:rsidR="00E14E15">
        <w:rPr>
          <w:rFonts w:cs="Verdana"/>
          <w:b/>
          <w:color w:val="000000"/>
          <w:sz w:val="20"/>
          <w:szCs w:val="20"/>
          <w:u w:val="single"/>
        </w:rPr>
        <w:t xml:space="preserve">   </w:t>
      </w:r>
    </w:p>
    <w:p w14:paraId="1DBD4E32" w14:textId="48995D3F" w:rsidR="000C5FDB" w:rsidRPr="00CE1ED6" w:rsidRDefault="000C5FDB" w:rsidP="00CE1ED6">
      <w:pPr>
        <w:pStyle w:val="CM2"/>
        <w:spacing w:line="246" w:lineRule="atLeast"/>
        <w:ind w:right="-7"/>
        <w:jc w:val="both"/>
        <w:rPr>
          <w:rFonts w:cs="Verdana"/>
          <w:b/>
          <w:color w:val="000000"/>
        </w:rPr>
      </w:pPr>
      <w:r w:rsidRPr="00480F03">
        <w:rPr>
          <w:rFonts w:cs="Verdana"/>
          <w:b/>
          <w:color w:val="000000"/>
          <w:sz w:val="20"/>
          <w:szCs w:val="20"/>
          <w:u w:val="single"/>
        </w:rPr>
        <w:t xml:space="preserve">UNIFORM PRACTICE </w:t>
      </w:r>
      <w:r w:rsidRPr="00F2100E">
        <w:rPr>
          <w:rFonts w:cs="Verdana"/>
          <w:b/>
          <w:color w:val="000000"/>
          <w:sz w:val="20"/>
          <w:szCs w:val="20"/>
          <w:u w:val="single"/>
        </w:rPr>
        <w:t xml:space="preserve">ADVISORY </w:t>
      </w:r>
      <w:r w:rsidR="00EB42AA" w:rsidRPr="00F2100E">
        <w:rPr>
          <w:rFonts w:cs="Verdana"/>
          <w:b/>
          <w:bCs/>
          <w:color w:val="000000"/>
          <w:sz w:val="20"/>
          <w:szCs w:val="20"/>
          <w:u w:val="single"/>
        </w:rPr>
        <w:t>(</w:t>
      </w:r>
      <w:r w:rsidR="00633B6E" w:rsidRPr="00F2100E">
        <w:rPr>
          <w:rFonts w:cs="Verdana"/>
          <w:b/>
          <w:bCs/>
          <w:color w:val="000000"/>
          <w:sz w:val="20"/>
          <w:szCs w:val="20"/>
          <w:u w:val="single"/>
        </w:rPr>
        <w:t>UPC #</w:t>
      </w:r>
      <w:r w:rsidR="00F2100E" w:rsidRPr="00F2100E">
        <w:rPr>
          <w:rFonts w:cs="Verdana"/>
          <w:b/>
          <w:bCs/>
          <w:color w:val="000000"/>
          <w:sz w:val="20"/>
          <w:szCs w:val="20"/>
          <w:u w:val="single"/>
        </w:rPr>
        <w:t>119</w:t>
      </w:r>
      <w:r w:rsidR="00CE1ED6" w:rsidRPr="00F2100E">
        <w:rPr>
          <w:rFonts w:cs="Verdana"/>
          <w:b/>
          <w:bCs/>
          <w:color w:val="000000"/>
          <w:sz w:val="20"/>
          <w:szCs w:val="20"/>
          <w:u w:val="single"/>
        </w:rPr>
        <w:t>-</w:t>
      </w:r>
      <w:r w:rsidR="00A94A90" w:rsidRPr="00F2100E">
        <w:rPr>
          <w:rFonts w:cs="Verdana"/>
          <w:b/>
          <w:bCs/>
          <w:color w:val="000000"/>
          <w:sz w:val="20"/>
          <w:szCs w:val="20"/>
          <w:u w:val="single"/>
        </w:rPr>
        <w:t>25</w:t>
      </w:r>
      <w:r w:rsidR="00994FE9" w:rsidRPr="00F2100E">
        <w:rPr>
          <w:rFonts w:cs="Verdana"/>
          <w:b/>
          <w:bCs/>
          <w:color w:val="000000"/>
          <w:sz w:val="20"/>
          <w:szCs w:val="20"/>
          <w:u w:val="single"/>
        </w:rPr>
        <w:t>)</w:t>
      </w:r>
      <w:r w:rsidR="001A5196">
        <w:rPr>
          <w:rFonts w:cs="Verdana"/>
          <w:b/>
          <w:bCs/>
          <w:color w:val="000000"/>
          <w:sz w:val="20"/>
          <w:szCs w:val="20"/>
          <w:u w:val="single"/>
        </w:rPr>
        <w:t xml:space="preserve"> </w:t>
      </w:r>
      <w:r w:rsidR="00A94A90" w:rsidRPr="00A94A90">
        <w:rPr>
          <w:rFonts w:cs="Verdana"/>
          <w:b/>
          <w:bCs/>
          <w:color w:val="000000"/>
          <w:sz w:val="20"/>
          <w:szCs w:val="20"/>
          <w:u w:val="single"/>
        </w:rPr>
        <w:t>11/13/2025</w:t>
      </w:r>
      <w:r w:rsidR="001A5196" w:rsidRPr="00A94A90">
        <w:rPr>
          <w:rFonts w:cs="Verdana"/>
          <w:b/>
          <w:bCs/>
          <w:color w:val="000000"/>
          <w:sz w:val="20"/>
          <w:szCs w:val="20"/>
          <w:u w:val="single"/>
        </w:rPr>
        <w:t xml:space="preserve"> </w:t>
      </w:r>
      <w:r w:rsidR="00A94A90" w:rsidRPr="00A94A90">
        <w:rPr>
          <w:rFonts w:cs="Verdana"/>
          <w:b/>
          <w:color w:val="000000"/>
          <w:sz w:val="20"/>
          <w:szCs w:val="20"/>
          <w:u w:val="single"/>
        </w:rPr>
        <w:t>Global Medical REIT</w:t>
      </w:r>
      <w:r w:rsidR="00A94A90">
        <w:rPr>
          <w:rFonts w:cs="Verdana"/>
          <w:b/>
          <w:color w:val="000000"/>
          <w:sz w:val="20"/>
          <w:szCs w:val="20"/>
          <w:u w:val="single"/>
        </w:rPr>
        <w:t xml:space="preserve"> Inc.</w:t>
      </w:r>
      <w:r w:rsidR="00A94A90" w:rsidRPr="00A94A90">
        <w:rPr>
          <w:rFonts w:cs="Verdana"/>
          <w:b/>
          <w:color w:val="000000"/>
          <w:sz w:val="20"/>
          <w:szCs w:val="20"/>
          <w:u w:val="single"/>
        </w:rPr>
        <w:t xml:space="preserve"> Cumulative Redeemable Preferred Series B</w:t>
      </w:r>
      <w:r w:rsidR="00C75F9F" w:rsidRPr="00A94A90">
        <w:rPr>
          <w:b/>
          <w:bCs/>
          <w:sz w:val="20"/>
          <w:szCs w:val="20"/>
          <w:u w:val="single"/>
        </w:rPr>
        <w:t xml:space="preserve"> (</w:t>
      </w:r>
      <w:r w:rsidR="00F137BB">
        <w:rPr>
          <w:b/>
          <w:bCs/>
          <w:sz w:val="20"/>
          <w:szCs w:val="20"/>
          <w:u w:val="single"/>
        </w:rPr>
        <w:t>When Issued</w:t>
      </w:r>
      <w:r w:rsidR="00751C24" w:rsidRPr="00F137BB">
        <w:rPr>
          <w:b/>
          <w:bCs/>
          <w:sz w:val="20"/>
          <w:szCs w:val="20"/>
          <w:u w:val="single"/>
        </w:rPr>
        <w:t>)</w:t>
      </w:r>
      <w:r w:rsidR="00F137BB">
        <w:rPr>
          <w:b/>
          <w:bCs/>
          <w:sz w:val="20"/>
          <w:szCs w:val="20"/>
          <w:u w:val="single"/>
        </w:rPr>
        <w:t xml:space="preserve"> </w:t>
      </w:r>
      <w:r w:rsidR="00A94A90">
        <w:rPr>
          <w:b/>
          <w:bCs/>
          <w:sz w:val="20"/>
          <w:szCs w:val="20"/>
          <w:u w:val="single"/>
        </w:rPr>
        <w:t>GMRBV</w:t>
      </w:r>
    </w:p>
    <w:p w14:paraId="026DA670" w14:textId="77777777" w:rsidR="00480F03" w:rsidRDefault="00480F03" w:rsidP="00215C03">
      <w:pPr>
        <w:pStyle w:val="CM2"/>
        <w:spacing w:line="243" w:lineRule="atLeast"/>
        <w:ind w:right="-7"/>
        <w:jc w:val="both"/>
        <w:rPr>
          <w:rFonts w:cs="Verdana"/>
          <w:color w:val="000000"/>
          <w:sz w:val="20"/>
          <w:szCs w:val="20"/>
        </w:rPr>
      </w:pPr>
    </w:p>
    <w:p w14:paraId="4396DB19" w14:textId="4ACBA47F" w:rsidR="00F137BB" w:rsidRDefault="00F137BB" w:rsidP="00F137BB">
      <w:pPr>
        <w:pStyle w:val="CM2"/>
        <w:spacing w:after="242" w:line="243" w:lineRule="atLeast"/>
        <w:ind w:right="-7"/>
        <w:jc w:val="both"/>
        <w:rPr>
          <w:rFonts w:cs="Verdana"/>
          <w:color w:val="000000"/>
          <w:sz w:val="20"/>
          <w:szCs w:val="20"/>
        </w:rPr>
      </w:pPr>
      <w:r>
        <w:rPr>
          <w:rFonts w:cs="Verdana"/>
          <w:color w:val="000000"/>
          <w:sz w:val="20"/>
          <w:szCs w:val="20"/>
        </w:rPr>
        <w:t xml:space="preserve">As noted on the </w:t>
      </w:r>
      <w:r w:rsidR="00A94A90">
        <w:rPr>
          <w:rFonts w:cs="Verdana"/>
          <w:b/>
          <w:bCs/>
          <w:color w:val="000000"/>
          <w:sz w:val="20"/>
          <w:szCs w:val="20"/>
        </w:rPr>
        <w:t>11/13/2025</w:t>
      </w:r>
      <w:r w:rsidR="009B7350">
        <w:rPr>
          <w:rFonts w:cs="Verdana"/>
          <w:color w:val="000000"/>
          <w:sz w:val="20"/>
          <w:szCs w:val="20"/>
        </w:rPr>
        <w:t xml:space="preserve"> </w:t>
      </w:r>
      <w:r>
        <w:rPr>
          <w:rFonts w:cs="Verdana"/>
          <w:color w:val="000000"/>
          <w:sz w:val="20"/>
          <w:szCs w:val="20"/>
        </w:rPr>
        <w:t xml:space="preserve">Daily List, the symbol </w:t>
      </w:r>
      <w:r w:rsidR="00A94A90">
        <w:rPr>
          <w:rFonts w:cs="Verdana"/>
          <w:b/>
          <w:bCs/>
          <w:color w:val="000000"/>
          <w:sz w:val="20"/>
          <w:szCs w:val="20"/>
        </w:rPr>
        <w:t>GMRBV</w:t>
      </w:r>
      <w:r w:rsidR="00994FE9">
        <w:rPr>
          <w:rFonts w:cs="Verdana"/>
          <w:color w:val="000000"/>
          <w:sz w:val="20"/>
          <w:szCs w:val="20"/>
        </w:rPr>
        <w:t xml:space="preserve"> </w:t>
      </w:r>
      <w:r>
        <w:rPr>
          <w:rFonts w:cs="Verdana"/>
          <w:color w:val="000000"/>
          <w:sz w:val="20"/>
          <w:szCs w:val="20"/>
        </w:rPr>
        <w:t xml:space="preserve">has been issued for </w:t>
      </w:r>
      <w:r w:rsidR="00A94A90" w:rsidRPr="00A94A90">
        <w:rPr>
          <w:rFonts w:cs="Verdana"/>
          <w:b/>
          <w:color w:val="000000"/>
          <w:sz w:val="20"/>
          <w:szCs w:val="20"/>
        </w:rPr>
        <w:t xml:space="preserve">Global Medical REIT </w:t>
      </w:r>
      <w:r w:rsidR="00A94A90">
        <w:rPr>
          <w:rFonts w:cs="Verdana"/>
          <w:b/>
          <w:color w:val="000000"/>
          <w:sz w:val="20"/>
          <w:szCs w:val="20"/>
        </w:rPr>
        <w:t xml:space="preserve">Inc. </w:t>
      </w:r>
      <w:r w:rsidR="00A94A90" w:rsidRPr="00A94A90">
        <w:rPr>
          <w:rFonts w:cs="Verdana"/>
          <w:b/>
          <w:color w:val="000000"/>
          <w:sz w:val="20"/>
          <w:szCs w:val="20"/>
        </w:rPr>
        <w:t>Cumulative Redeemable Preferred Series</w:t>
      </w:r>
      <w:r w:rsidR="00A94A90" w:rsidRPr="00FB0EE8">
        <w:rPr>
          <w:rFonts w:cs="Verdana"/>
          <w:b/>
          <w:bCs/>
          <w:color w:val="000000"/>
          <w:sz w:val="20"/>
          <w:szCs w:val="20"/>
        </w:rPr>
        <w:t xml:space="preserve"> B</w:t>
      </w:r>
      <w:r w:rsidR="001A5196" w:rsidRPr="00A94A90">
        <w:rPr>
          <w:rFonts w:cs="Verdana"/>
          <w:color w:val="000000"/>
          <w:sz w:val="20"/>
          <w:szCs w:val="20"/>
        </w:rPr>
        <w:t xml:space="preserve"> </w:t>
      </w:r>
      <w:r>
        <w:rPr>
          <w:rFonts w:cs="Verdana"/>
          <w:color w:val="000000"/>
          <w:sz w:val="20"/>
          <w:szCs w:val="20"/>
        </w:rPr>
        <w:t xml:space="preserve">(When Issued). FINRA is issuing this UPC Advisory to alert members, investors and other interested parties to the following general information regarding the issuance of a symbol for when, as and if issued contracts: </w:t>
      </w:r>
    </w:p>
    <w:p w14:paraId="0D6021B5" w14:textId="77777777" w:rsidR="00F137BB" w:rsidRDefault="00F137BB" w:rsidP="00F137BB">
      <w:pPr>
        <w:pStyle w:val="Default"/>
        <w:numPr>
          <w:ilvl w:val="0"/>
          <w:numId w:val="1"/>
        </w:numPr>
        <w:spacing w:after="214"/>
        <w:ind w:left="360" w:right="-7" w:hanging="360"/>
        <w:rPr>
          <w:sz w:val="20"/>
          <w:szCs w:val="20"/>
        </w:rPr>
      </w:pPr>
      <w:r>
        <w:rPr>
          <w:sz w:val="20"/>
          <w:szCs w:val="20"/>
        </w:rPr>
        <w:t xml:space="preserve">The issue of whether a "when, as and if issued" contract is bona fide and/or is subject to any requirements or prohibitions under the federal securities laws in respect of any transaction or any person is a matter not addressed by the issuance of a trading symbol. Those questions are matters of interpretation under the federal securities laws and are neither within the scope of FINRA responsibilities under the Uniform Practice Code nor will otherwise be addressed by FINRA. Consequently, any party that may have any responsibility under the federal securities laws and/or FINRA Rules for certain conduct or transactions may not rely on the issuance of a trading symbol as permitting, excusing or mitigating any volatile conduct; </w:t>
      </w:r>
    </w:p>
    <w:p w14:paraId="3BF9DC25" w14:textId="0F1EABE7" w:rsidR="00F137BB" w:rsidRDefault="00F137BB" w:rsidP="00F137BB">
      <w:pPr>
        <w:pStyle w:val="Default"/>
        <w:numPr>
          <w:ilvl w:val="0"/>
          <w:numId w:val="1"/>
        </w:numPr>
        <w:spacing w:after="214"/>
        <w:ind w:left="360" w:right="-7" w:hanging="360"/>
        <w:rPr>
          <w:sz w:val="20"/>
          <w:szCs w:val="20"/>
        </w:rPr>
      </w:pPr>
      <w:r>
        <w:rPr>
          <w:sz w:val="20"/>
          <w:szCs w:val="20"/>
        </w:rPr>
        <w:t xml:space="preserve">The issuance of a symbol does not otherwise represent a review by FINRA of the merits of such contracts and/or its terms or the requirement or adequacy of any disclosures; and </w:t>
      </w:r>
    </w:p>
    <w:p w14:paraId="7B7F448A" w14:textId="26B5793D" w:rsidR="00F137BB" w:rsidRDefault="00F137BB" w:rsidP="00F137BB">
      <w:pPr>
        <w:pStyle w:val="Default"/>
        <w:numPr>
          <w:ilvl w:val="0"/>
          <w:numId w:val="1"/>
        </w:numPr>
        <w:ind w:left="360" w:right="-7" w:hanging="360"/>
        <w:rPr>
          <w:sz w:val="20"/>
          <w:szCs w:val="20"/>
        </w:rPr>
      </w:pPr>
      <w:r>
        <w:rPr>
          <w:sz w:val="20"/>
          <w:szCs w:val="20"/>
        </w:rPr>
        <w:t xml:space="preserve">Members are expected to comply with their obligations under Uniform Practice Code Rule 11130 and all other related rules in respect of such contracts, including, but not limited to, Regulation SHO, as applicable. Members should ensure that they understand the application of, and can comply with, these provisions prior to effecting transactions in these securities.  </w:t>
      </w:r>
    </w:p>
    <w:p w14:paraId="5C755ED0" w14:textId="77777777" w:rsidR="00076F50" w:rsidRPr="002474E3" w:rsidRDefault="00076F50" w:rsidP="00076F50">
      <w:pPr>
        <w:autoSpaceDE w:val="0"/>
        <w:autoSpaceDN w:val="0"/>
        <w:adjustRightInd w:val="0"/>
        <w:spacing w:after="0" w:line="240" w:lineRule="auto"/>
        <w:rPr>
          <w:rFonts w:ascii="Verdana" w:hAnsi="Verdana"/>
          <w:sz w:val="20"/>
          <w:szCs w:val="20"/>
        </w:rPr>
      </w:pPr>
    </w:p>
    <w:p w14:paraId="1DC334FF" w14:textId="77777777" w:rsidR="000C5FDB" w:rsidRPr="00800EC9" w:rsidRDefault="000C5FDB" w:rsidP="00215C03">
      <w:pPr>
        <w:pStyle w:val="Default"/>
        <w:jc w:val="both"/>
        <w:rPr>
          <w:sz w:val="20"/>
          <w:szCs w:val="20"/>
        </w:rPr>
      </w:pPr>
    </w:p>
    <w:p w14:paraId="64D4CF89" w14:textId="77777777" w:rsidR="000C5FDB" w:rsidRPr="00800EC9" w:rsidRDefault="000C5FDB" w:rsidP="00215C03">
      <w:pPr>
        <w:pStyle w:val="Default"/>
        <w:framePr w:w="9483" w:wrap="auto" w:vAnchor="page" w:hAnchor="page" w:x="1996" w:y="14656"/>
        <w:jc w:val="both"/>
        <w:rPr>
          <w:sz w:val="20"/>
          <w:szCs w:val="20"/>
        </w:rPr>
      </w:pPr>
      <w:r w:rsidRPr="00800EC9">
        <w:rPr>
          <w:sz w:val="20"/>
          <w:szCs w:val="20"/>
        </w:rPr>
        <w:t xml:space="preserve"> </w:t>
      </w:r>
    </w:p>
    <w:p w14:paraId="3698C95B" w14:textId="77777777" w:rsidR="006D1C2A" w:rsidRDefault="000C5FDB" w:rsidP="00215C03">
      <w:pPr>
        <w:pStyle w:val="Default"/>
        <w:spacing w:line="246" w:lineRule="atLeast"/>
        <w:jc w:val="both"/>
        <w:rPr>
          <w:sz w:val="20"/>
          <w:szCs w:val="20"/>
        </w:rPr>
      </w:pPr>
      <w:r w:rsidRPr="00800EC9">
        <w:rPr>
          <w:sz w:val="20"/>
          <w:szCs w:val="20"/>
        </w:rPr>
        <w:t>Questions regarding this</w:t>
      </w:r>
      <w:r w:rsidRPr="00E14E15">
        <w:rPr>
          <w:sz w:val="20"/>
          <w:szCs w:val="20"/>
        </w:rPr>
        <w:t xml:space="preserve"> notice should be directed to: FINRA</w:t>
      </w:r>
      <w:r w:rsidR="00661F9F">
        <w:rPr>
          <w:sz w:val="20"/>
          <w:szCs w:val="20"/>
        </w:rPr>
        <w:t xml:space="preserve"> Market</w:t>
      </w:r>
      <w:r w:rsidRPr="00E14E15">
        <w:rPr>
          <w:sz w:val="20"/>
          <w:szCs w:val="20"/>
        </w:rPr>
        <w:t xml:space="preserve"> Operations- </w:t>
      </w:r>
    </w:p>
    <w:p w14:paraId="532A9DC0" w14:textId="1E716FC4" w:rsidR="000C5FDB" w:rsidRPr="00E14E15" w:rsidRDefault="000C5FDB" w:rsidP="00215C03">
      <w:pPr>
        <w:pStyle w:val="Default"/>
        <w:spacing w:line="246" w:lineRule="atLeast"/>
        <w:jc w:val="both"/>
        <w:rPr>
          <w:sz w:val="20"/>
          <w:szCs w:val="20"/>
        </w:rPr>
      </w:pPr>
      <w:r w:rsidRPr="00E14E15">
        <w:rPr>
          <w:sz w:val="20"/>
          <w:szCs w:val="20"/>
        </w:rPr>
        <w:t>1-866-776</w:t>
      </w:r>
      <w:r w:rsidRPr="00E14E15">
        <w:rPr>
          <w:sz w:val="20"/>
          <w:szCs w:val="20"/>
        </w:rPr>
        <w:softHyphen/>
      </w:r>
      <w:r w:rsidR="006D1C2A">
        <w:rPr>
          <w:sz w:val="20"/>
          <w:szCs w:val="20"/>
        </w:rPr>
        <w:t>-</w:t>
      </w:r>
      <w:r w:rsidRPr="00E14E15">
        <w:rPr>
          <w:sz w:val="20"/>
          <w:szCs w:val="20"/>
        </w:rPr>
        <w:t xml:space="preserve">0800. </w:t>
      </w:r>
    </w:p>
    <w:p w14:paraId="24F2A691" w14:textId="77777777" w:rsidR="000C5FDB" w:rsidRDefault="000C5FDB">
      <w:pPr>
        <w:pStyle w:val="Default"/>
        <w:widowControl/>
        <w:autoSpaceDE/>
        <w:autoSpaceDN/>
        <w:adjustRightInd/>
      </w:pPr>
    </w:p>
    <w:sectPr w:rsidR="000C5FDB" w:rsidSect="007D673A">
      <w:footerReference w:type="default" r:id="rId8"/>
      <w:pgSz w:w="12240" w:h="15840" w:code="1"/>
      <w:pgMar w:top="2160" w:right="1987" w:bottom="1080" w:left="1440" w:header="720" w:footer="10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75DDE" w14:textId="77777777" w:rsidR="00466416" w:rsidRDefault="00466416" w:rsidP="00762D94">
      <w:pPr>
        <w:spacing w:after="0" w:line="240" w:lineRule="auto"/>
      </w:pPr>
      <w:r>
        <w:separator/>
      </w:r>
    </w:p>
  </w:endnote>
  <w:endnote w:type="continuationSeparator" w:id="0">
    <w:p w14:paraId="5342BD92" w14:textId="77777777" w:rsidR="00466416" w:rsidRDefault="00466416" w:rsidP="00762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A29C" w14:textId="77777777" w:rsidR="00762D94" w:rsidRDefault="00E44ED2">
    <w:pPr>
      <w:pStyle w:val="Footer"/>
    </w:pPr>
    <w:r>
      <w:rPr>
        <w:noProof/>
      </w:rPr>
      <w:drawing>
        <wp:anchor distT="0" distB="0" distL="114300" distR="114300" simplePos="0" relativeHeight="251657728" behindDoc="0" locked="0" layoutInCell="1" allowOverlap="1" wp14:anchorId="4266131E" wp14:editId="60F836E5">
          <wp:simplePos x="0" y="0"/>
          <wp:positionH relativeFrom="page">
            <wp:posOffset>1577340</wp:posOffset>
          </wp:positionH>
          <wp:positionV relativeFrom="page">
            <wp:posOffset>8858250</wp:posOffset>
          </wp:positionV>
          <wp:extent cx="5508625" cy="912495"/>
          <wp:effectExtent l="0" t="0" r="0" b="0"/>
          <wp:wrapSquare wrapText="bothSides"/>
          <wp:docPr id="1" name="Picture 1" descr="finra_address_9509_keywest_color_s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ra_address_9509_keywest_color_st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8625" cy="9124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90913" w14:textId="77777777" w:rsidR="00466416" w:rsidRDefault="00466416" w:rsidP="00762D94">
      <w:pPr>
        <w:spacing w:after="0" w:line="240" w:lineRule="auto"/>
      </w:pPr>
      <w:r>
        <w:separator/>
      </w:r>
    </w:p>
  </w:footnote>
  <w:footnote w:type="continuationSeparator" w:id="0">
    <w:p w14:paraId="10A9DE54" w14:textId="77777777" w:rsidR="00466416" w:rsidRDefault="00466416" w:rsidP="00762D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DFD9A1"/>
    <w:multiLevelType w:val="hybridMultilevel"/>
    <w:tmpl w:val="6B6C55B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342049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7409" style="mso-position-horizontal:center"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7A7"/>
    <w:rsid w:val="00076F50"/>
    <w:rsid w:val="000A6970"/>
    <w:rsid w:val="000B7139"/>
    <w:rsid w:val="000C5FDB"/>
    <w:rsid w:val="001A5196"/>
    <w:rsid w:val="001C02AB"/>
    <w:rsid w:val="00215C03"/>
    <w:rsid w:val="00356372"/>
    <w:rsid w:val="003D32B9"/>
    <w:rsid w:val="003F4399"/>
    <w:rsid w:val="00412CA5"/>
    <w:rsid w:val="00422E57"/>
    <w:rsid w:val="004520BD"/>
    <w:rsid w:val="00452A96"/>
    <w:rsid w:val="00466416"/>
    <w:rsid w:val="00480F03"/>
    <w:rsid w:val="004A5DE9"/>
    <w:rsid w:val="00552F5A"/>
    <w:rsid w:val="00573FF1"/>
    <w:rsid w:val="005F10C5"/>
    <w:rsid w:val="00633B6E"/>
    <w:rsid w:val="00661F9F"/>
    <w:rsid w:val="006D1C2A"/>
    <w:rsid w:val="006F58C6"/>
    <w:rsid w:val="0074141C"/>
    <w:rsid w:val="00751C24"/>
    <w:rsid w:val="00762D94"/>
    <w:rsid w:val="007B66FF"/>
    <w:rsid w:val="007D673A"/>
    <w:rsid w:val="007F37A7"/>
    <w:rsid w:val="00800EC9"/>
    <w:rsid w:val="00994FE9"/>
    <w:rsid w:val="00996CD5"/>
    <w:rsid w:val="009B7350"/>
    <w:rsid w:val="009F2996"/>
    <w:rsid w:val="009F6C63"/>
    <w:rsid w:val="00A242FE"/>
    <w:rsid w:val="00A644B8"/>
    <w:rsid w:val="00A94A90"/>
    <w:rsid w:val="00AD39EA"/>
    <w:rsid w:val="00AE119E"/>
    <w:rsid w:val="00B3120A"/>
    <w:rsid w:val="00B35C78"/>
    <w:rsid w:val="00BC2F1F"/>
    <w:rsid w:val="00C75F9F"/>
    <w:rsid w:val="00C85279"/>
    <w:rsid w:val="00C864F7"/>
    <w:rsid w:val="00CB10C1"/>
    <w:rsid w:val="00CE1ED6"/>
    <w:rsid w:val="00D31F6B"/>
    <w:rsid w:val="00DB147B"/>
    <w:rsid w:val="00E14E15"/>
    <w:rsid w:val="00E44ED2"/>
    <w:rsid w:val="00E61484"/>
    <w:rsid w:val="00EA0C5A"/>
    <w:rsid w:val="00EB42AA"/>
    <w:rsid w:val="00EB5E4E"/>
    <w:rsid w:val="00EF463E"/>
    <w:rsid w:val="00F137BB"/>
    <w:rsid w:val="00F2100E"/>
    <w:rsid w:val="00F47E69"/>
    <w:rsid w:val="00FB0EE8"/>
    <w:rsid w:val="00FD5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style="mso-position-horizontal:center" fill="f" fillcolor="white" stroke="f">
      <v:fill color="white" on="f"/>
      <v:stroke on="f"/>
    </o:shapedefaults>
    <o:shapelayout v:ext="edit">
      <o:idmap v:ext="edit" data="1"/>
    </o:shapelayout>
  </w:shapeDefaults>
  <w:decimalSymbol w:val="."/>
  <w:listSeparator w:val=","/>
  <w14:docId w14:val="2A5B522C"/>
  <w15:chartTrackingRefBased/>
  <w15:docId w15:val="{1670BF57-D7E8-43E6-809F-C09F6DFF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Verdana" w:hAnsi="Verdana" w:cs="Verdana"/>
      <w:color w:val="000000"/>
      <w:sz w:val="24"/>
      <w:szCs w:val="24"/>
    </w:rPr>
  </w:style>
  <w:style w:type="paragraph" w:customStyle="1" w:styleId="CM2">
    <w:name w:val="CM2"/>
    <w:basedOn w:val="Default"/>
    <w:next w:val="Default"/>
    <w:uiPriority w:val="99"/>
    <w:rPr>
      <w:rFonts w:cs="Times New Roman"/>
      <w:color w:val="auto"/>
    </w:rPr>
  </w:style>
  <w:style w:type="paragraph" w:customStyle="1" w:styleId="CM1">
    <w:name w:val="CM1"/>
    <w:basedOn w:val="Default"/>
    <w:next w:val="Default"/>
    <w:uiPriority w:val="99"/>
    <w:pPr>
      <w:spacing w:line="243" w:lineRule="atLeast"/>
    </w:pPr>
    <w:rPr>
      <w:rFonts w:cs="Times New Roman"/>
      <w:color w:val="auto"/>
    </w:rPr>
  </w:style>
  <w:style w:type="paragraph" w:styleId="BodyText2">
    <w:name w:val="Body Text 2"/>
    <w:aliases w:val="bt2"/>
    <w:basedOn w:val="Normal"/>
    <w:link w:val="BodyText2Char"/>
    <w:rsid w:val="00E14E15"/>
    <w:pPr>
      <w:spacing w:after="240" w:line="240" w:lineRule="auto"/>
      <w:ind w:firstLine="720"/>
      <w:jc w:val="both"/>
    </w:pPr>
    <w:rPr>
      <w:rFonts w:ascii="Times New Roman" w:hAnsi="Times New Roman"/>
      <w:sz w:val="24"/>
      <w:szCs w:val="20"/>
    </w:rPr>
  </w:style>
  <w:style w:type="character" w:customStyle="1" w:styleId="BodyText2Char">
    <w:name w:val="Body Text 2 Char"/>
    <w:aliases w:val="bt2 Char"/>
    <w:link w:val="BodyText2"/>
    <w:rsid w:val="00E14E15"/>
    <w:rPr>
      <w:rFonts w:ascii="Times New Roman" w:hAnsi="Times New Roman"/>
      <w:sz w:val="24"/>
    </w:rPr>
  </w:style>
  <w:style w:type="paragraph" w:styleId="Header">
    <w:name w:val="header"/>
    <w:basedOn w:val="Normal"/>
    <w:link w:val="HeaderChar"/>
    <w:uiPriority w:val="99"/>
    <w:semiHidden/>
    <w:unhideWhenUsed/>
    <w:rsid w:val="00762D94"/>
    <w:pPr>
      <w:tabs>
        <w:tab w:val="center" w:pos="4680"/>
        <w:tab w:val="right" w:pos="9360"/>
      </w:tabs>
    </w:pPr>
  </w:style>
  <w:style w:type="character" w:customStyle="1" w:styleId="HeaderChar">
    <w:name w:val="Header Char"/>
    <w:link w:val="Header"/>
    <w:uiPriority w:val="99"/>
    <w:semiHidden/>
    <w:rsid w:val="00762D94"/>
    <w:rPr>
      <w:sz w:val="22"/>
      <w:szCs w:val="22"/>
    </w:rPr>
  </w:style>
  <w:style w:type="paragraph" w:styleId="Footer">
    <w:name w:val="footer"/>
    <w:basedOn w:val="Normal"/>
    <w:link w:val="FooterChar"/>
    <w:uiPriority w:val="99"/>
    <w:semiHidden/>
    <w:unhideWhenUsed/>
    <w:rsid w:val="00762D94"/>
    <w:pPr>
      <w:tabs>
        <w:tab w:val="center" w:pos="4680"/>
        <w:tab w:val="right" w:pos="9360"/>
      </w:tabs>
    </w:pPr>
  </w:style>
  <w:style w:type="character" w:customStyle="1" w:styleId="FooterChar">
    <w:name w:val="Footer Char"/>
    <w:link w:val="Footer"/>
    <w:uiPriority w:val="99"/>
    <w:semiHidden/>
    <w:rsid w:val="00762D9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Microsoft Word - 052-2010 VSTOV.doc</vt:lpstr>
    </vt:vector>
  </TitlesOfParts>
  <Company>FINRA</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- 052-2010 VSTOV.doc</dc:title>
  <dc:subject/>
  <dc:creator>Jonest</dc:creator>
  <cp:keywords/>
  <cp:lastModifiedBy>Roberson, Jessica</cp:lastModifiedBy>
  <cp:revision>3</cp:revision>
  <cp:lastPrinted>2011-02-04T19:29:00Z</cp:lastPrinted>
  <dcterms:created xsi:type="dcterms:W3CDTF">2025-11-13T17:56:00Z</dcterms:created>
  <dcterms:modified xsi:type="dcterms:W3CDTF">2025-11-13T17:56:00Z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-567442359</vt:i4>
  </property>
  <property fmtid="{D5CDD505-2E9C-101B-9397-08002B2CF9AE}" pid="3" name="_NewReviewCycle">
    <vt:lpwstr/>
  </property>
  <property fmtid="{D5CDD505-2E9C-101B-9397-08002B2CF9AE}" pid="4" name="_EmailSubject">
    <vt:lpwstr>GMRBV When Issued UPC Notice </vt:lpwstr>
  </property>
  <property fmtid="{D5CDD505-2E9C-101B-9397-08002B2CF9AE}" pid="5" name="_ReviewingToolsShownOnce">
    <vt:lpwstr/>
  </property>
</Properties>
</file>